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32"/>
        </w:rPr>
      </w:pPr>
      <w:r>
        <w:rPr>
          <w:rFonts w:hint="eastAsia"/>
          <w:sz w:val="32"/>
        </w:rPr>
        <w:t>藤里町農地賃借料情報</w:t>
      </w:r>
    </w:p>
    <w:p>
      <w:pPr>
        <w:pStyle w:val="0"/>
        <w:rPr>
          <w:rFonts w:hint="default"/>
          <w:sz w:val="24"/>
        </w:rPr>
      </w:pPr>
    </w:p>
    <w:p>
      <w:pPr>
        <w:pStyle w:val="0"/>
        <w:ind w:firstLine="240" w:firstLineChars="100"/>
        <w:rPr>
          <w:rFonts w:hint="default"/>
          <w:sz w:val="24"/>
        </w:rPr>
      </w:pPr>
      <w:r>
        <w:rPr>
          <w:rFonts w:hint="eastAsia"/>
          <w:sz w:val="24"/>
        </w:rPr>
        <w:t>藤里町農業委員会では、今年産の米概算金などを加味し、令和４年の農地賃借料を</w:t>
      </w:r>
    </w:p>
    <w:p>
      <w:pPr>
        <w:pStyle w:val="0"/>
        <w:rPr>
          <w:rFonts w:hint="default"/>
          <w:sz w:val="24"/>
        </w:rPr>
      </w:pPr>
      <w:r>
        <w:rPr>
          <w:rFonts w:hint="eastAsia"/>
          <w:sz w:val="24"/>
        </w:rPr>
        <w:t>算定しましたので、農地を貸し借りする場合の参考資料としてご活用ください。</w:t>
      </w:r>
    </w:p>
    <w:p>
      <w:pPr>
        <w:pStyle w:val="0"/>
        <w:rPr>
          <w:rFonts w:hint="default"/>
        </w:rPr>
      </w:pPr>
    </w:p>
    <w:p>
      <w:pPr>
        <w:pStyle w:val="15"/>
        <w:numPr>
          <w:ilvl w:val="0"/>
          <w:numId w:val="1"/>
        </w:numPr>
        <w:ind w:leftChars="0"/>
        <w:rPr>
          <w:rFonts w:hint="default" w:asciiTheme="minorEastAsia" w:hAnsiTheme="minorEastAsia"/>
          <w:sz w:val="24"/>
        </w:rPr>
      </w:pPr>
      <w:r>
        <w:rPr>
          <w:rFonts w:hint="eastAsia" w:asciiTheme="minorEastAsia" w:hAnsiTheme="minorEastAsia"/>
          <w:sz w:val="24"/>
        </w:rPr>
        <w:t>　令和４年　１０</w:t>
      </w:r>
      <w:r>
        <w:rPr>
          <w:rFonts w:hint="default" w:asciiTheme="minorEastAsia" w:hAnsiTheme="minorEastAsia"/>
          <w:sz w:val="24"/>
        </w:rPr>
        <w:t>a</w:t>
      </w:r>
      <w:r>
        <w:rPr>
          <w:rFonts w:hint="eastAsia" w:asciiTheme="minorEastAsia" w:hAnsiTheme="minorEastAsia"/>
          <w:sz w:val="24"/>
        </w:rPr>
        <w:t>当りの農地賃借料　　　　（単位；円</w:t>
      </w:r>
      <w:r>
        <w:rPr>
          <w:rFonts w:hint="eastAsia" w:asciiTheme="minorEastAsia" w:hAnsiTheme="minorEastAsia"/>
          <w:sz w:val="24"/>
        </w:rPr>
        <w:t>/10a</w:t>
      </w:r>
      <w:r>
        <w:rPr>
          <w:rFonts w:hint="eastAsia" w:asciiTheme="minorEastAsia" w:hAnsiTheme="minorEastAsia"/>
          <w:sz w:val="24"/>
        </w:rPr>
        <w:t>）</w:t>
      </w:r>
    </w:p>
    <w:tbl>
      <w:tblPr>
        <w:tblStyle w:val="25"/>
        <w:tblW w:w="8495" w:type="dxa"/>
        <w:tblInd w:w="56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Look w:firstRow="1" w:lastRow="0" w:firstColumn="1" w:lastColumn="0" w:noHBand="0" w:noVBand="1" w:val="04A0"/>
      </w:tblPr>
      <w:tblGrid>
        <w:gridCol w:w="1555"/>
        <w:gridCol w:w="1696"/>
        <w:gridCol w:w="1701"/>
        <w:gridCol w:w="1559"/>
        <w:gridCol w:w="1984"/>
      </w:tblGrid>
      <w:tr>
        <w:trPr>
          <w:trHeight w:val="569" w:hRule="atLeast"/>
        </w:trPr>
        <w:tc>
          <w:tcPr>
            <w:tcW w:w="1555"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区分</w:t>
            </w:r>
          </w:p>
        </w:tc>
        <w:tc>
          <w:tcPr>
            <w:tcW w:w="1696"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上級田</w:t>
            </w:r>
          </w:p>
        </w:tc>
        <w:tc>
          <w:tcPr>
            <w:tcW w:w="1701"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中級田</w:t>
            </w:r>
          </w:p>
        </w:tc>
        <w:tc>
          <w:tcPr>
            <w:tcW w:w="1559"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下級田</w:t>
            </w:r>
          </w:p>
        </w:tc>
        <w:tc>
          <w:tcPr>
            <w:tcW w:w="1984" w:type="dxa"/>
            <w:tcBorders>
              <w:top w:val="none" w:color="auto" w:sz="0" w:space="0"/>
              <w:left w:val="none" w:color="auto" w:sz="0" w:space="0"/>
              <w:bottom w:val="single" w:color="auto" w:sz="6"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4"/>
              </w:rPr>
            </w:pPr>
            <w:r>
              <w:rPr>
                <w:rFonts w:hint="eastAsia" w:asciiTheme="minorEastAsia" w:hAnsiTheme="minorEastAsia"/>
                <w:sz w:val="24"/>
              </w:rPr>
              <w:t>備　考</w:t>
            </w:r>
          </w:p>
        </w:tc>
      </w:tr>
      <w:tr>
        <w:trPr>
          <w:trHeight w:val="449" w:hRule="atLeast"/>
        </w:trPr>
        <w:tc>
          <w:tcPr>
            <w:tcW w:w="1555" w:type="dxa"/>
            <w:tcBorders>
              <w:top w:val="single" w:color="auto" w:sz="6"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圃場規模</w:t>
            </w:r>
          </w:p>
        </w:tc>
        <w:tc>
          <w:tcPr>
            <w:tcW w:w="1696" w:type="dxa"/>
            <w:tcBorders>
              <w:top w:val="single" w:color="auto" w:sz="6"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center"/>
              <w:rPr>
                <w:rFonts w:hint="default" w:asciiTheme="minorEastAsia" w:hAnsiTheme="minorEastAsia"/>
                <w:sz w:val="22"/>
              </w:rPr>
            </w:pPr>
            <w:r>
              <w:rPr>
                <w:rFonts w:hint="eastAsia" w:asciiTheme="minorEastAsia" w:hAnsiTheme="minorEastAsia"/>
                <w:sz w:val="22"/>
              </w:rPr>
              <w:t>30</w:t>
            </w:r>
            <w:r>
              <w:rPr>
                <w:rFonts w:hint="default" w:asciiTheme="minorEastAsia" w:hAnsiTheme="minorEastAsia"/>
                <w:sz w:val="22"/>
              </w:rPr>
              <w:t>a</w:t>
            </w:r>
            <w:r>
              <w:rPr>
                <w:rFonts w:hint="eastAsia" w:asciiTheme="minorEastAsia" w:hAnsiTheme="minorEastAsia"/>
                <w:sz w:val="22"/>
              </w:rPr>
              <w:t>以上</w:t>
            </w:r>
          </w:p>
        </w:tc>
        <w:tc>
          <w:tcPr>
            <w:tcW w:w="1701" w:type="dxa"/>
            <w:tcBorders>
              <w:top w:val="single" w:color="auto" w:sz="6" w:space="0"/>
              <w:left w:val="none" w:color="auto" w:sz="0" w:space="0"/>
              <w:bottom w:val="single" w:color="auto" w:sz="4" w:space="0"/>
              <w:right w:val="none" w:color="auto" w:sz="0" w:space="0"/>
              <w:tl2br w:val="none" w:color="auto" w:sz="0" w:space="0"/>
              <w:tr2bl w:val="none" w:color="auto" w:sz="0" w:space="0"/>
            </w:tcBorders>
            <w:vAlign w:val="center"/>
          </w:tcPr>
          <w:p>
            <w:pPr>
              <w:pStyle w:val="0"/>
              <w:wordWrap w:val="0"/>
              <w:jc w:val="center"/>
              <w:rPr>
                <w:rFonts w:hint="default" w:asciiTheme="minorEastAsia" w:hAnsiTheme="minorEastAsia"/>
                <w:sz w:val="22"/>
              </w:rPr>
            </w:pPr>
            <w:r>
              <w:rPr>
                <w:rFonts w:hint="default" w:asciiTheme="minorEastAsia" w:hAnsiTheme="minorEastAsia"/>
                <w:sz w:val="22"/>
              </w:rPr>
              <w:t>30a</w:t>
            </w:r>
            <w:r>
              <w:rPr>
                <w:rFonts w:hint="eastAsia" w:asciiTheme="minorEastAsia" w:hAnsiTheme="minorEastAsia"/>
                <w:sz w:val="22"/>
              </w:rPr>
              <w:t>～</w:t>
            </w:r>
            <w:r>
              <w:rPr>
                <w:rFonts w:hint="eastAsia" w:asciiTheme="minorEastAsia" w:hAnsiTheme="minorEastAsia"/>
                <w:sz w:val="22"/>
              </w:rPr>
              <w:t>10</w:t>
            </w:r>
            <w:r>
              <w:rPr>
                <w:rFonts w:hint="default" w:asciiTheme="minorEastAsia" w:hAnsiTheme="minorEastAsia"/>
                <w:sz w:val="22"/>
              </w:rPr>
              <w:t>a</w:t>
            </w:r>
          </w:p>
        </w:tc>
        <w:tc>
          <w:tcPr>
            <w:tcW w:w="1559" w:type="dxa"/>
            <w:tcBorders>
              <w:top w:val="single" w:color="auto" w:sz="6"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上・中以外</w:t>
            </w:r>
          </w:p>
        </w:tc>
        <w:tc>
          <w:tcPr>
            <w:tcW w:w="1984" w:type="dxa"/>
            <w:tcBorders>
              <w:top w:val="single" w:color="auto" w:sz="6"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trHeight w:val="570" w:hRule="atLeast"/>
        </w:trPr>
        <w:tc>
          <w:tcPr>
            <w:tcW w:w="1555"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jc w:val="center"/>
              <w:rPr>
                <w:rFonts w:hint="default" w:asciiTheme="minorEastAsia" w:hAnsiTheme="minorEastAsia"/>
                <w:sz w:val="22"/>
              </w:rPr>
            </w:pPr>
            <w:r>
              <w:rPr>
                <w:rFonts w:hint="eastAsia" w:asciiTheme="minorEastAsia" w:hAnsiTheme="minorEastAsia"/>
                <w:sz w:val="22"/>
              </w:rPr>
              <w:t>基準収量</w:t>
            </w:r>
          </w:p>
        </w:tc>
        <w:tc>
          <w:tcPr>
            <w:tcW w:w="1696"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sz w:val="22"/>
              </w:rPr>
            </w:pPr>
            <w:r>
              <w:rPr>
                <w:rFonts w:hint="eastAsia" w:asciiTheme="minorEastAsia" w:hAnsiTheme="minorEastAsia"/>
                <w:sz w:val="22"/>
              </w:rPr>
              <w:t>550</w:t>
            </w:r>
            <w:r>
              <w:rPr>
                <w:rFonts w:hint="default" w:asciiTheme="minorEastAsia" w:hAnsiTheme="minorEastAsia"/>
                <w:sz w:val="22"/>
              </w:rPr>
              <w:t>kg/10a</w:t>
            </w:r>
          </w:p>
        </w:tc>
        <w:tc>
          <w:tcPr>
            <w:tcW w:w="1701"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sz w:val="22"/>
              </w:rPr>
            </w:pPr>
            <w:r>
              <w:rPr>
                <w:rFonts w:hint="eastAsia" w:asciiTheme="minorEastAsia" w:hAnsiTheme="minorEastAsia"/>
                <w:sz w:val="22"/>
              </w:rPr>
              <w:t>50</w:t>
            </w:r>
            <w:r>
              <w:rPr>
                <w:rFonts w:hint="default" w:asciiTheme="minorEastAsia" w:hAnsiTheme="minorEastAsia"/>
                <w:sz w:val="22"/>
              </w:rPr>
              <w:t>0kg/10a</w:t>
            </w:r>
          </w:p>
        </w:tc>
        <w:tc>
          <w:tcPr>
            <w:tcW w:w="1559"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center"/>
          </w:tcPr>
          <w:p>
            <w:pPr>
              <w:pStyle w:val="0"/>
              <w:wordWrap w:val="0"/>
              <w:jc w:val="right"/>
              <w:rPr>
                <w:rFonts w:hint="default" w:asciiTheme="minorEastAsia" w:hAnsiTheme="minorEastAsia"/>
                <w:sz w:val="22"/>
              </w:rPr>
            </w:pPr>
            <w:r>
              <w:rPr>
                <w:rFonts w:hint="default" w:asciiTheme="minorEastAsia" w:hAnsiTheme="minorEastAsia"/>
                <w:sz w:val="22"/>
              </w:rPr>
              <w:t>4</w:t>
            </w:r>
            <w:r>
              <w:rPr>
                <w:rFonts w:hint="eastAsia" w:asciiTheme="minorEastAsia" w:hAnsiTheme="minorEastAsia"/>
                <w:sz w:val="22"/>
              </w:rPr>
              <w:t>7</w:t>
            </w:r>
            <w:r>
              <w:rPr>
                <w:rFonts w:hint="default" w:asciiTheme="minorEastAsia" w:hAnsiTheme="minorEastAsia"/>
                <w:sz w:val="22"/>
              </w:rPr>
              <w:t>0kg/10a</w:t>
            </w:r>
          </w:p>
        </w:tc>
        <w:tc>
          <w:tcPr>
            <w:tcW w:w="1984" w:type="dxa"/>
            <w:tcBorders>
              <w:top w:val="single" w:color="auto" w:sz="4" w:space="0"/>
              <w:left w:val="none" w:color="auto" w:sz="0" w:space="0"/>
              <w:bottom w:val="single" w:color="auto" w:sz="12" w:space="0"/>
              <w:right w:val="none" w:color="auto" w:sz="0" w:space="0"/>
              <w:tl2br w:val="none" w:color="auto" w:sz="0" w:space="0"/>
              <w:tr2bl w:val="none" w:color="auto" w:sz="0" w:space="0"/>
            </w:tcBorders>
            <w:vAlign w:val="top"/>
          </w:tcPr>
          <w:p>
            <w:pPr>
              <w:pStyle w:val="0"/>
              <w:rPr>
                <w:rFonts w:hint="default" w:asciiTheme="minorEastAsia" w:hAnsiTheme="minorEastAsia"/>
                <w:sz w:val="22"/>
              </w:rPr>
            </w:pPr>
          </w:p>
        </w:tc>
      </w:tr>
      <w:tr>
        <w:trPr>
          <w:trHeight w:val="758" w:hRule="atLeast"/>
        </w:trPr>
        <w:tc>
          <w:tcPr>
            <w:tcW w:w="155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最高額</w:t>
            </w:r>
          </w:p>
        </w:tc>
        <w:tc>
          <w:tcPr>
            <w:tcW w:w="1696"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11</w:t>
            </w:r>
            <w:r>
              <w:rPr>
                <w:rFonts w:hint="default" w:asciiTheme="majorEastAsia" w:hAnsiTheme="majorEastAsia" w:eastAsiaTheme="majorEastAsia"/>
                <w:sz w:val="24"/>
              </w:rPr>
              <w:t>,</w:t>
            </w:r>
            <w:r>
              <w:rPr>
                <w:rFonts w:hint="eastAsia" w:asciiTheme="majorEastAsia" w:hAnsiTheme="majorEastAsia" w:eastAsiaTheme="majorEastAsia"/>
                <w:sz w:val="24"/>
              </w:rPr>
              <w:t>000</w:t>
            </w:r>
          </w:p>
        </w:tc>
        <w:tc>
          <w:tcPr>
            <w:tcW w:w="170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8,000</w:t>
            </w: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wordWrap w:val="0"/>
              <w:ind w:right="34"/>
              <w:jc w:val="right"/>
              <w:rPr>
                <w:rFonts w:hint="default" w:asciiTheme="majorEastAsia" w:hAnsiTheme="majorEastAsia" w:eastAsiaTheme="majorEastAsia"/>
                <w:sz w:val="24"/>
              </w:rPr>
            </w:pPr>
            <w:r>
              <w:rPr>
                <w:rFonts w:hint="eastAsia" w:asciiTheme="majorEastAsia" w:hAnsiTheme="majorEastAsia" w:eastAsiaTheme="majorEastAsia"/>
                <w:sz w:val="24"/>
              </w:rPr>
              <w:t>5,000</w:t>
            </w:r>
          </w:p>
        </w:tc>
        <w:tc>
          <w:tcPr>
            <w:tcW w:w="198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top"/>
          </w:tcPr>
          <w:p>
            <w:pPr>
              <w:pStyle w:val="0"/>
              <w:rPr>
                <w:rFonts w:hint="default" w:asciiTheme="majorEastAsia" w:hAnsiTheme="majorEastAsia" w:eastAsiaTheme="majorEastAsia"/>
                <w:sz w:val="24"/>
              </w:rPr>
            </w:pPr>
          </w:p>
        </w:tc>
      </w:tr>
      <w:tr>
        <w:trPr>
          <w:trHeight w:val="758" w:hRule="atLeast"/>
        </w:trPr>
        <w:tc>
          <w:tcPr>
            <w:tcW w:w="1555"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jc w:val="center"/>
              <w:rPr>
                <w:rFonts w:hint="default" w:asciiTheme="majorEastAsia" w:hAnsiTheme="majorEastAsia" w:eastAsiaTheme="majorEastAsia"/>
                <w:sz w:val="24"/>
              </w:rPr>
            </w:pPr>
            <w:r>
              <w:rPr>
                <w:rFonts w:hint="eastAsia" w:asciiTheme="majorEastAsia" w:hAnsiTheme="majorEastAsia" w:eastAsiaTheme="majorEastAsia"/>
                <w:sz w:val="24"/>
              </w:rPr>
              <w:t>最低額</w:t>
            </w:r>
          </w:p>
        </w:tc>
        <w:tc>
          <w:tcPr>
            <w:tcW w:w="1696"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10</w:t>
            </w:r>
            <w:r>
              <w:rPr>
                <w:rFonts w:hint="default" w:asciiTheme="majorEastAsia" w:hAnsiTheme="majorEastAsia" w:eastAsiaTheme="majorEastAsia"/>
                <w:sz w:val="24"/>
              </w:rPr>
              <w:t>,</w:t>
            </w:r>
            <w:r>
              <w:rPr>
                <w:rFonts w:hint="eastAsia" w:asciiTheme="majorEastAsia" w:hAnsiTheme="majorEastAsia" w:eastAsiaTheme="majorEastAsia"/>
                <w:sz w:val="24"/>
              </w:rPr>
              <w:t>000</w:t>
            </w:r>
          </w:p>
        </w:tc>
        <w:tc>
          <w:tcPr>
            <w:tcW w:w="1701"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wordWrap w:val="0"/>
              <w:jc w:val="right"/>
              <w:rPr>
                <w:rFonts w:hint="default" w:asciiTheme="majorEastAsia" w:hAnsiTheme="majorEastAsia" w:eastAsiaTheme="majorEastAsia"/>
                <w:sz w:val="24"/>
              </w:rPr>
            </w:pPr>
            <w:r>
              <w:rPr>
                <w:rFonts w:hint="eastAsia" w:asciiTheme="majorEastAsia" w:hAnsiTheme="majorEastAsia" w:eastAsiaTheme="majorEastAsia"/>
                <w:sz w:val="24"/>
              </w:rPr>
              <w:t>7,000</w:t>
            </w:r>
          </w:p>
        </w:tc>
        <w:tc>
          <w:tcPr>
            <w:tcW w:w="1559"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center"/>
          </w:tcPr>
          <w:p>
            <w:pPr>
              <w:pStyle w:val="0"/>
              <w:wordWrap w:val="0"/>
              <w:ind w:right="34"/>
              <w:jc w:val="right"/>
              <w:rPr>
                <w:rFonts w:hint="default" w:asciiTheme="majorEastAsia" w:hAnsiTheme="majorEastAsia" w:eastAsiaTheme="majorEastAsia"/>
                <w:sz w:val="24"/>
              </w:rPr>
            </w:pPr>
            <w:r>
              <w:rPr>
                <w:rFonts w:hint="eastAsia" w:asciiTheme="majorEastAsia" w:hAnsiTheme="majorEastAsia" w:eastAsiaTheme="majorEastAsia"/>
                <w:sz w:val="24"/>
              </w:rPr>
              <w:t>4,000</w:t>
            </w:r>
          </w:p>
        </w:tc>
        <w:tc>
          <w:tcPr>
            <w:tcW w:w="1984" w:type="dxa"/>
            <w:tcBorders>
              <w:top w:val="single" w:color="auto" w:sz="12" w:space="0"/>
              <w:left w:val="none" w:color="auto" w:sz="0" w:space="0"/>
              <w:bottom w:val="single" w:color="auto" w:sz="12" w:space="0"/>
              <w:right w:val="none" w:color="auto" w:sz="0" w:space="0"/>
              <w:tl2br w:val="none" w:color="auto" w:sz="0" w:space="0"/>
              <w:tr2bl w:val="none" w:color="auto" w:sz="0" w:space="0"/>
            </w:tcBorders>
            <w:shd w:val="pct12" w:color="auto" w:fill="auto"/>
            <w:vAlign w:val="top"/>
          </w:tcPr>
          <w:p>
            <w:pPr>
              <w:pStyle w:val="0"/>
              <w:rPr>
                <w:rFonts w:hint="eastAsia"/>
              </w:rPr>
            </w:pPr>
          </w:p>
        </w:tc>
      </w:tr>
      <w:tr>
        <w:trPr>
          <w:trHeight w:val="758" w:hRule="atLeast"/>
        </w:trPr>
        <w:tc>
          <w:tcPr>
            <w:tcW w:w="8495" w:type="dxa"/>
            <w:gridSpan w:val="5"/>
            <w:tcBorders>
              <w:top w:val="single" w:color="auto" w:sz="12" w:space="0"/>
              <w:left w:val="none" w:color="auto" w:sz="0" w:space="0"/>
              <w:bottom w:val="none" w:color="auto" w:sz="0" w:space="0"/>
              <w:right w:val="none" w:color="auto" w:sz="0" w:space="0"/>
              <w:tl2br w:val="none" w:color="auto" w:sz="0" w:space="0"/>
              <w:tr2bl w:val="none" w:color="auto" w:sz="0" w:space="0"/>
            </w:tcBorders>
            <w:vAlign w:val="center"/>
          </w:tcPr>
          <w:p>
            <w:pPr>
              <w:pStyle w:val="0"/>
              <w:ind w:right="609" w:rightChars="290"/>
              <w:rPr>
                <w:rFonts w:hint="default" w:asciiTheme="minorEastAsia" w:hAnsiTheme="minorEastAsia"/>
                <w:sz w:val="24"/>
              </w:rPr>
            </w:pPr>
          </w:p>
          <w:p>
            <w:pPr>
              <w:pStyle w:val="15"/>
              <w:ind w:left="591" w:leftChars="0" w:right="609" w:rightChars="290"/>
              <w:rPr>
                <w:rFonts w:hint="default" w:asciiTheme="minorEastAsia" w:hAnsiTheme="minorEastAsia"/>
                <w:sz w:val="24"/>
              </w:rPr>
            </w:pPr>
          </w:p>
        </w:tc>
      </w:tr>
    </w:tbl>
    <w:p>
      <w:pPr>
        <w:pStyle w:val="0"/>
        <w:rPr>
          <w:rFonts w:hint="default" w:asciiTheme="minorEastAsia" w:hAnsiTheme="minorEastAsia"/>
          <w:sz w:val="24"/>
        </w:rPr>
      </w:pPr>
    </w:p>
    <w:p>
      <w:pPr>
        <w:pStyle w:val="15"/>
        <w:numPr>
          <w:ilvl w:val="0"/>
          <w:numId w:val="1"/>
        </w:numPr>
        <w:ind w:leftChars="0"/>
        <w:rPr>
          <w:rFonts w:hint="default" w:asciiTheme="minorEastAsia" w:hAnsiTheme="minorEastAsia"/>
          <w:sz w:val="24"/>
        </w:rPr>
      </w:pPr>
      <w:r>
        <w:rPr>
          <w:rFonts w:hint="eastAsia" w:asciiTheme="minorEastAsia" w:hAnsiTheme="minorEastAsia"/>
          <w:sz w:val="24"/>
        </w:rPr>
        <w:t>留意事項</w:t>
      </w:r>
    </w:p>
    <w:tbl>
      <w:tblPr>
        <w:tblStyle w:val="25"/>
        <w:tblW w:w="9608" w:type="dxa"/>
        <w:tblInd w:w="0"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firstRow="1" w:lastRow="0" w:firstColumn="1" w:lastColumn="0" w:noHBand="0" w:noVBand="1" w:val="04A0"/>
      </w:tblPr>
      <w:tblGrid>
        <w:gridCol w:w="9608"/>
      </w:tblGrid>
      <w:tr>
        <w:trPr/>
        <w:tc>
          <w:tcPr>
            <w:tcW w:w="9628" w:type="dxa"/>
            <w:vAlign w:val="top"/>
          </w:tcPr>
          <w:p>
            <w:pPr>
              <w:pStyle w:val="0"/>
              <w:ind w:left="566" w:hanging="566" w:hangingChars="236"/>
              <w:rPr>
                <w:rFonts w:hint="default" w:asciiTheme="minorEastAsia" w:hAnsiTheme="minorEastAsia"/>
                <w:sz w:val="24"/>
              </w:rPr>
            </w:pPr>
            <w:r>
              <w:rPr>
                <w:rFonts w:hint="eastAsia" w:asciiTheme="minorEastAsia" w:hAnsiTheme="minorEastAsia"/>
                <w:sz w:val="24"/>
              </w:rPr>
              <w:t>（１）上記の額はあくまでも参考です。貸人・借人相互で話し合い、実情に合わせた条件を考慮して賃借料を決定してください。</w:t>
            </w:r>
          </w:p>
        </w:tc>
      </w:tr>
    </w:tbl>
    <w:p>
      <w:pPr>
        <w:pStyle w:val="0"/>
        <w:spacing w:before="180" w:beforeLines="50" w:beforeAutospacing="0"/>
        <w:ind w:left="566" w:hanging="566" w:hangingChars="236"/>
        <w:rPr>
          <w:rFonts w:hint="default" w:asciiTheme="minorEastAsia" w:hAnsiTheme="minorEastAsia"/>
          <w:sz w:val="24"/>
        </w:rPr>
      </w:pPr>
      <w:r>
        <w:rPr>
          <w:rFonts w:hint="eastAsia" w:asciiTheme="minorEastAsia" w:hAnsiTheme="minorEastAsia"/>
          <w:sz w:val="24"/>
        </w:rPr>
        <w:t>（２）賃借料を決める場合、土地改良整備の償還金、水利費についてもご確認ください。</w:t>
      </w:r>
    </w:p>
    <w:p>
      <w:pPr>
        <w:pStyle w:val="0"/>
        <w:spacing w:before="180" w:beforeLines="50" w:beforeAutospacing="0"/>
        <w:ind w:left="566" w:hanging="566" w:hangingChars="236"/>
        <w:rPr>
          <w:rFonts w:hint="default" w:asciiTheme="minorEastAsia" w:hAnsiTheme="minorEastAsia"/>
          <w:sz w:val="24"/>
        </w:rPr>
      </w:pPr>
      <w:r>
        <w:rPr>
          <w:rFonts w:hint="eastAsia" w:asciiTheme="minorEastAsia" w:hAnsiTheme="minorEastAsia"/>
          <w:sz w:val="24"/>
        </w:rPr>
        <w:t>（３）藤琴・大沢地区、長瀞地区の大区画基盤整備を実施した圃場の賃借料は、土地改良区や地区組合で設定している額をご確認ください。</w:t>
      </w:r>
    </w:p>
    <w:p>
      <w:pPr>
        <w:pStyle w:val="0"/>
        <w:spacing w:before="180" w:beforeLines="50" w:beforeAutospacing="0"/>
        <w:rPr>
          <w:rFonts w:hint="default" w:asciiTheme="minorEastAsia" w:hAnsiTheme="minorEastAsia"/>
          <w:sz w:val="24"/>
        </w:rPr>
      </w:pPr>
      <w:r>
        <w:rPr>
          <w:rFonts w:hint="eastAsia" w:asciiTheme="minorEastAsia" w:hAnsiTheme="minorEastAsia"/>
          <w:sz w:val="24"/>
        </w:rPr>
        <w:t>（４）貸し借りする農地の状況を考慮した場合、</w:t>
      </w:r>
      <w:r>
        <w:rPr>
          <w:rFonts w:hint="eastAsia" w:asciiTheme="minorEastAsia" w:hAnsiTheme="minorEastAsia"/>
          <w:sz w:val="24"/>
        </w:rPr>
        <w:t>20</w:t>
      </w:r>
      <w:r>
        <w:rPr>
          <w:rFonts w:hint="eastAsia" w:asciiTheme="minorEastAsia" w:hAnsiTheme="minorEastAsia"/>
          <w:sz w:val="24"/>
        </w:rPr>
        <w:t>％以内で増・減額することができます。</w:t>
      </w:r>
    </w:p>
    <w:p>
      <w:pPr>
        <w:pStyle w:val="0"/>
        <w:rPr>
          <w:rFonts w:hint="default" w:asciiTheme="minorEastAsia" w:hAnsiTheme="minorEastAsia"/>
          <w:sz w:val="24"/>
        </w:rPr>
      </w:pPr>
    </w:p>
    <w:p>
      <w:pPr>
        <w:pStyle w:val="15"/>
        <w:numPr>
          <w:ilvl w:val="0"/>
          <w:numId w:val="2"/>
        </w:numPr>
        <w:ind w:leftChars="0"/>
        <w:rPr>
          <w:rFonts w:hint="default" w:asciiTheme="minorEastAsia" w:hAnsiTheme="minorEastAsia"/>
          <w:sz w:val="24"/>
        </w:rPr>
      </w:pPr>
      <w:r>
        <w:rPr>
          <w:rFonts w:hint="eastAsia" w:asciiTheme="minorEastAsia" w:hAnsiTheme="minorEastAsia"/>
          <w:sz w:val="24"/>
        </w:rPr>
        <w:t>　農業委員会から</w:t>
      </w:r>
    </w:p>
    <w:p>
      <w:pPr>
        <w:pStyle w:val="0"/>
        <w:ind w:left="567" w:leftChars="270" w:firstLine="233" w:firstLineChars="97"/>
        <w:rPr>
          <w:rFonts w:hint="default" w:asciiTheme="minorEastAsia" w:hAnsiTheme="minorEastAsia"/>
          <w:sz w:val="24"/>
        </w:rPr>
      </w:pPr>
      <w:r>
        <w:rPr>
          <w:rFonts w:hint="eastAsia" w:asciiTheme="minorEastAsia" w:hAnsiTheme="minorEastAsia"/>
          <w:sz w:val="24"/>
        </w:rPr>
        <w:t>貸人・借人相互で額を決定できない場合は、農業委員会事務局へご相談ください。</w:t>
      </w:r>
    </w:p>
    <w:p>
      <w:pPr>
        <w:pStyle w:val="0"/>
        <w:ind w:left="567" w:leftChars="270" w:firstLine="233" w:firstLineChars="97"/>
        <w:rPr>
          <w:rFonts w:hint="default" w:asciiTheme="minorEastAsia" w:hAnsiTheme="minorEastAsia"/>
          <w:sz w:val="24"/>
        </w:rPr>
      </w:pPr>
      <w:r>
        <w:rPr>
          <w:rFonts w:hint="eastAsia" w:asciiTheme="minorEastAsia" w:hAnsiTheme="minorEastAsia"/>
          <w:sz w:val="24"/>
        </w:rPr>
        <w:t>また、管理できなくなった農地などについては、みなさんの地域の農業委員と農地利用最適化推進委員が耕作放棄地を防ぐため農地斡旋に努めておりますので気軽に声をかけてください。</w:t>
      </w:r>
    </w:p>
    <w:p>
      <w:pPr>
        <w:pStyle w:val="0"/>
        <w:ind w:left="567" w:leftChars="270" w:firstLine="233" w:firstLineChars="97"/>
        <w:rPr>
          <w:rFonts w:hint="default" w:asciiTheme="minorEastAsia" w:hAnsiTheme="minorEastAsia"/>
          <w:sz w:val="24"/>
        </w:rPr>
      </w:pPr>
    </w:p>
    <w:p>
      <w:pPr>
        <w:pStyle w:val="0"/>
        <w:ind w:firstLine="720" w:firstLineChars="300"/>
        <w:rPr>
          <w:rFonts w:hint="default" w:asciiTheme="minorEastAsia" w:hAnsiTheme="minorEastAsia"/>
          <w:sz w:val="24"/>
        </w:rPr>
      </w:pPr>
      <w:r>
        <w:rPr>
          <w:rFonts w:hint="eastAsia" w:asciiTheme="minorEastAsia" w:hAnsiTheme="minorEastAsia"/>
          <w:sz w:val="24"/>
        </w:rPr>
        <w:t>＜問い合せ先＞　藤里町農業委員会事務局　電話　７９</w:t>
      </w:r>
      <w:r>
        <w:rPr>
          <w:rFonts w:hint="eastAsia" w:asciiTheme="minorEastAsia" w:hAnsiTheme="minorEastAsia"/>
          <w:sz w:val="24"/>
        </w:rPr>
        <w:t>—</w:t>
      </w:r>
      <w:r>
        <w:rPr>
          <w:rFonts w:hint="eastAsia" w:asciiTheme="minorEastAsia" w:hAnsiTheme="minorEastAsia"/>
          <w:sz w:val="24"/>
        </w:rPr>
        <w:t>２１１４</w:t>
      </w:r>
    </w:p>
    <w:p>
      <w:pPr>
        <w:pStyle w:val="0"/>
        <w:ind w:firstLine="480" w:firstLineChars="200"/>
        <w:jc w:val="right"/>
        <w:rPr>
          <w:rFonts w:hint="default" w:asciiTheme="minorEastAsia" w:hAnsiTheme="minorEastAsia"/>
          <w:sz w:val="24"/>
        </w:rPr>
      </w:pPr>
    </w:p>
    <w:p>
      <w:pPr>
        <w:pStyle w:val="0"/>
        <w:ind w:firstLine="480" w:firstLineChars="200"/>
        <w:jc w:val="right"/>
        <w:rPr>
          <w:rFonts w:hint="default" w:asciiTheme="minorEastAsia" w:hAnsiTheme="minorEastAsia"/>
          <w:sz w:val="24"/>
        </w:rPr>
      </w:pPr>
    </w:p>
    <w:p>
      <w:pPr>
        <w:pStyle w:val="0"/>
        <w:ind w:firstLine="643" w:firstLineChars="200"/>
        <w:jc w:val="center"/>
        <w:rPr>
          <w:rFonts w:hint="default" w:asciiTheme="minorEastAsia" w:hAnsiTheme="minorEastAsia"/>
          <w:b w:val="1"/>
          <w:sz w:val="32"/>
        </w:rPr>
      </w:pPr>
      <w:r>
        <w:rPr>
          <w:rFonts w:hint="eastAsia" w:asciiTheme="minorEastAsia" w:hAnsiTheme="minorEastAsia"/>
          <w:b w:val="1"/>
          <w:sz w:val="32"/>
        </w:rPr>
        <w:t>藤里町農業委員会</w:t>
      </w:r>
      <w:bookmarkStart w:id="0" w:name="_GoBack"/>
      <w:bookmarkEnd w:id="0"/>
    </w:p>
    <w:sectPr>
      <w:pgSz w:w="11906" w:h="16838"/>
      <w:pgMar w:top="1418"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F7D8BF52"/>
    <w:lvl w:ilvl="0" w:tplc="29CA8828">
      <w:start w:val="1"/>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00000002"/>
    <w:multiLevelType w:val="hybridMultilevel"/>
    <w:tmpl w:val="55C25C24"/>
    <w:lvl w:ilvl="0" w:tplc="C994E1AE">
      <w:start w:val="3"/>
      <w:numFmt w:val="decimalFullWidth"/>
      <w:lvlText w:val="%1."/>
      <w:lvlJc w:val="left"/>
      <w:pPr>
        <w:ind w:left="360" w:hanging="36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annotation reference"/>
    <w:basedOn w:val="10"/>
    <w:next w:val="16"/>
    <w:link w:val="0"/>
    <w:uiPriority w:val="0"/>
    <w:semiHidden/>
    <w:rPr>
      <w:sz w:val="18"/>
    </w:rPr>
  </w:style>
  <w:style w:type="paragraph" w:styleId="17">
    <w:name w:val="annotation text"/>
    <w:basedOn w:val="0"/>
    <w:next w:val="17"/>
    <w:link w:val="18"/>
    <w:uiPriority w:val="0"/>
    <w:semiHidden/>
    <w:pPr>
      <w:jc w:val="left"/>
    </w:pPr>
  </w:style>
  <w:style w:type="character" w:styleId="18" w:customStyle="1">
    <w:name w:val="コメント文字列 (文字)"/>
    <w:basedOn w:val="10"/>
    <w:next w:val="18"/>
    <w:link w:val="17"/>
    <w:uiPriority w:val="0"/>
  </w:style>
  <w:style w:type="paragraph" w:styleId="19">
    <w:name w:val="annotation subject"/>
    <w:basedOn w:val="17"/>
    <w:next w:val="17"/>
    <w:link w:val="20"/>
    <w:uiPriority w:val="0"/>
    <w:semiHidden/>
    <w:rPr>
      <w:b w:val="1"/>
    </w:rPr>
  </w:style>
  <w:style w:type="character" w:styleId="20" w:customStyle="1">
    <w:name w:val="コメント内容 (文字)"/>
    <w:basedOn w:val="18"/>
    <w:next w:val="20"/>
    <w:link w:val="19"/>
    <w:uiPriority w:val="0"/>
    <w:rPr>
      <w:b w:val="1"/>
    </w:rPr>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736</TotalTime>
  <Pages>1</Pages>
  <Words>24</Words>
  <Characters>581</Characters>
  <Application>JUST Note</Application>
  <Lines>52</Lines>
  <Paragraphs>35</Paragraphs>
  <CharactersWithSpaces>592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fujisato</dc:creator>
  <cp:lastModifiedBy>農業委員会</cp:lastModifiedBy>
  <cp:lastPrinted>2022-01-06T08:19:58Z</cp:lastPrinted>
  <dcterms:created xsi:type="dcterms:W3CDTF">2014-12-05T04:09:00Z</dcterms:created>
  <dcterms:modified xsi:type="dcterms:W3CDTF">2022-01-06T08:23:28Z</dcterms:modified>
  <cp:revision>76</cp:revision>
</cp:coreProperties>
</file>